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376" w:rsidRPr="00B90A4C" w:rsidRDefault="00540376" w:rsidP="007E1A70">
      <w:pPr>
        <w:jc w:val="both"/>
        <w:rPr>
          <w:rStyle w:val="Vurgu"/>
          <w:rFonts w:cs="Arial"/>
          <w:b/>
          <w:i w:val="0"/>
          <w:color w:val="000000"/>
          <w:sz w:val="24"/>
          <w:szCs w:val="24"/>
        </w:rPr>
      </w:pPr>
      <w:r w:rsidRPr="00B90A4C">
        <w:rPr>
          <w:rFonts w:cs="Arial"/>
          <w:noProof/>
          <w:sz w:val="24"/>
          <w:szCs w:val="24"/>
          <w:lang w:eastAsia="tr-TR"/>
        </w:rPr>
        <w:drawing>
          <wp:anchor distT="0" distB="0" distL="114300" distR="114300" simplePos="0" relativeHeight="251659264" behindDoc="0" locked="0" layoutInCell="1" allowOverlap="1" wp14:anchorId="67FEF739" wp14:editId="3B5F223E">
            <wp:simplePos x="0" y="0"/>
            <wp:positionH relativeFrom="column">
              <wp:posOffset>-260985</wp:posOffset>
            </wp:positionH>
            <wp:positionV relativeFrom="paragraph">
              <wp:posOffset>0</wp:posOffset>
            </wp:positionV>
            <wp:extent cx="6121400" cy="790575"/>
            <wp:effectExtent l="0" t="0" r="0" b="9525"/>
            <wp:wrapSquare wrapText="bothSides"/>
            <wp:docPr id="1" name="Resim 1" descr="C:\Users\Pc\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Pc\Desktop\Graphic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376" w:rsidRPr="00B90A4C" w:rsidRDefault="00540376" w:rsidP="007E1A70">
      <w:pPr>
        <w:jc w:val="both"/>
        <w:rPr>
          <w:rStyle w:val="Vurgu"/>
          <w:rFonts w:cs="Arial"/>
          <w:b/>
          <w:i w:val="0"/>
          <w:color w:val="000000"/>
          <w:sz w:val="24"/>
          <w:szCs w:val="24"/>
        </w:rPr>
      </w:pPr>
    </w:p>
    <w:p w:rsidR="00540376" w:rsidRPr="00B90A4C" w:rsidRDefault="00540376" w:rsidP="00055E3C">
      <w:pPr>
        <w:jc w:val="center"/>
        <w:rPr>
          <w:rFonts w:cs="Arial"/>
          <w:b/>
          <w:sz w:val="24"/>
          <w:szCs w:val="24"/>
        </w:rPr>
      </w:pPr>
      <w:r w:rsidRPr="00A973B4">
        <w:rPr>
          <w:rFonts w:cs="Arial"/>
          <w:b/>
          <w:sz w:val="24"/>
          <w:szCs w:val="24"/>
        </w:rPr>
        <w:t>SİRKÜ NO: 2016/S-0</w:t>
      </w:r>
      <w:r w:rsidR="00A670FD" w:rsidRPr="00A973B4">
        <w:rPr>
          <w:rFonts w:cs="Arial"/>
          <w:b/>
          <w:sz w:val="24"/>
          <w:szCs w:val="24"/>
        </w:rPr>
        <w:t>1</w:t>
      </w:r>
    </w:p>
    <w:p w:rsidR="00540376" w:rsidRPr="00B90A4C" w:rsidRDefault="00540376" w:rsidP="007E1A70">
      <w:pPr>
        <w:jc w:val="both"/>
        <w:rPr>
          <w:rFonts w:cs="Arial"/>
          <w:sz w:val="24"/>
          <w:szCs w:val="24"/>
        </w:rPr>
      </w:pPr>
    </w:p>
    <w:p w:rsidR="00A670FD" w:rsidRDefault="00540376" w:rsidP="007E1A70">
      <w:pPr>
        <w:jc w:val="both"/>
        <w:rPr>
          <w:rFonts w:cs="Arial"/>
          <w:sz w:val="24"/>
          <w:szCs w:val="24"/>
        </w:rPr>
      </w:pPr>
      <w:r w:rsidRPr="00B90A4C">
        <w:rPr>
          <w:rStyle w:val="Vurgu"/>
          <w:rFonts w:cs="Arial"/>
          <w:b/>
          <w:color w:val="000000"/>
          <w:sz w:val="24"/>
          <w:szCs w:val="24"/>
        </w:rPr>
        <w:t>KONU:</w:t>
      </w:r>
      <w:r w:rsidR="00A670FD">
        <w:rPr>
          <w:rStyle w:val="Vurgu"/>
          <w:rFonts w:cs="Arial"/>
          <w:i w:val="0"/>
          <w:color w:val="000000"/>
          <w:sz w:val="24"/>
          <w:szCs w:val="24"/>
        </w:rPr>
        <w:t xml:space="preserve"> </w:t>
      </w:r>
      <w:r w:rsidR="00A439F1">
        <w:rPr>
          <w:rStyle w:val="Vurgu"/>
          <w:rFonts w:cs="Arial"/>
          <w:i w:val="0"/>
          <w:color w:val="000000"/>
          <w:sz w:val="24"/>
          <w:szCs w:val="24"/>
        </w:rPr>
        <w:t>9.8.2016</w:t>
      </w:r>
      <w:r w:rsidR="00A670FD">
        <w:rPr>
          <w:rStyle w:val="Vurgu"/>
          <w:rFonts w:cs="Arial"/>
          <w:i w:val="0"/>
          <w:color w:val="000000"/>
          <w:sz w:val="24"/>
          <w:szCs w:val="24"/>
        </w:rPr>
        <w:t xml:space="preserve"> Tarih 29796 sayılı Resmi Gazete ’de yayımlanan 6728 sayılı</w:t>
      </w:r>
      <w:r w:rsidRPr="00540376">
        <w:rPr>
          <w:rStyle w:val="Vurgu"/>
          <w:rFonts w:cs="Arial"/>
          <w:i w:val="0"/>
          <w:color w:val="000000"/>
          <w:sz w:val="24"/>
          <w:szCs w:val="24"/>
        </w:rPr>
        <w:t xml:space="preserve"> </w:t>
      </w:r>
      <w:r>
        <w:rPr>
          <w:rStyle w:val="Vurgu"/>
          <w:rFonts w:cs="Arial"/>
          <w:i w:val="0"/>
          <w:color w:val="000000"/>
          <w:sz w:val="24"/>
          <w:szCs w:val="24"/>
        </w:rPr>
        <w:t>Yatırım ortamının iyileştirilmesi amacıyla bazı kanunlarda değişiklik yapılmasına dair kanundaki</w:t>
      </w:r>
      <w:r w:rsidRPr="00540376">
        <w:t xml:space="preserve"> </w:t>
      </w:r>
      <w:r w:rsidRPr="00187DA6">
        <w:rPr>
          <w:rFonts w:cs="Arial"/>
          <w:b/>
          <w:sz w:val="24"/>
          <w:szCs w:val="24"/>
        </w:rPr>
        <w:t>488 Sayılı Damga Vergisi Kanunu</w:t>
      </w:r>
      <w:r>
        <w:rPr>
          <w:rFonts w:cs="Arial"/>
          <w:sz w:val="24"/>
          <w:szCs w:val="24"/>
        </w:rPr>
        <w:t xml:space="preserve">’nda yapılan </w:t>
      </w:r>
      <w:r w:rsidR="00A670FD">
        <w:rPr>
          <w:rFonts w:cs="Arial"/>
          <w:sz w:val="24"/>
          <w:szCs w:val="24"/>
        </w:rPr>
        <w:t>değişiklikler</w:t>
      </w:r>
    </w:p>
    <w:p w:rsidR="00ED58C9" w:rsidRDefault="00ED58C9" w:rsidP="007E1A70">
      <w:pPr>
        <w:jc w:val="both"/>
        <w:rPr>
          <w:rFonts w:cs="Arial"/>
          <w:sz w:val="24"/>
          <w:szCs w:val="24"/>
        </w:rPr>
      </w:pPr>
    </w:p>
    <w:p w:rsidR="00ED58C9" w:rsidRPr="00A439F1" w:rsidRDefault="00ED58C9" w:rsidP="007E1A70">
      <w:pPr>
        <w:pStyle w:val="ListeParagraf"/>
        <w:numPr>
          <w:ilvl w:val="1"/>
          <w:numId w:val="1"/>
        </w:numPr>
        <w:tabs>
          <w:tab w:val="left" w:pos="6775"/>
        </w:tabs>
        <w:ind w:left="426"/>
        <w:jc w:val="both"/>
        <w:rPr>
          <w:rFonts w:cs="Times New Roman"/>
          <w:b/>
          <w:i/>
          <w:sz w:val="24"/>
          <w:szCs w:val="24"/>
        </w:rPr>
      </w:pPr>
      <w:r w:rsidRPr="00ED58C9">
        <w:rPr>
          <w:rFonts w:cs="Times New Roman"/>
          <w:sz w:val="24"/>
          <w:szCs w:val="24"/>
        </w:rPr>
        <w:t xml:space="preserve">Kanunun 5. Maddesinin birinci fıkrasının birinci cümlesi; “Bir nüshadan fazla olarak düzenlenen kâğıtlardan, </w:t>
      </w:r>
      <w:r w:rsidRPr="00180D03">
        <w:rPr>
          <w:rFonts w:cs="Times New Roman"/>
          <w:sz w:val="24"/>
          <w:szCs w:val="24"/>
          <w:u w:val="single"/>
        </w:rPr>
        <w:t>maktu vergiye tabi olanlar</w:t>
      </w:r>
      <w:bookmarkStart w:id="0" w:name="_GoBack"/>
      <w:bookmarkEnd w:id="0"/>
      <w:r w:rsidRPr="00180D03">
        <w:rPr>
          <w:rFonts w:cs="Times New Roman"/>
          <w:sz w:val="24"/>
          <w:szCs w:val="24"/>
          <w:u w:val="single"/>
        </w:rPr>
        <w:t>ın her bir nüshası ayrı ayrı aynı miktarda; nispi vergiye tabi olanların ise sadece bir nüshası damga vergisine tabidir</w:t>
      </w:r>
      <w:r w:rsidRPr="00ED58C9">
        <w:rPr>
          <w:rFonts w:cs="Times New Roman"/>
          <w:sz w:val="24"/>
          <w:szCs w:val="24"/>
        </w:rPr>
        <w:t>” şeklinde değiştir</w:t>
      </w:r>
      <w:r>
        <w:rPr>
          <w:rFonts w:cs="Times New Roman"/>
          <w:sz w:val="24"/>
          <w:szCs w:val="24"/>
        </w:rPr>
        <w:t>i</w:t>
      </w:r>
      <w:r w:rsidRPr="00ED58C9">
        <w:rPr>
          <w:rFonts w:cs="Times New Roman"/>
          <w:sz w:val="24"/>
          <w:szCs w:val="24"/>
        </w:rPr>
        <w:t>lmiştir.</w:t>
      </w:r>
    </w:p>
    <w:p w:rsidR="00A439F1" w:rsidRDefault="00A439F1" w:rsidP="007E1A70">
      <w:pPr>
        <w:pStyle w:val="ListeParagraf"/>
        <w:numPr>
          <w:ilvl w:val="1"/>
          <w:numId w:val="1"/>
        </w:numPr>
        <w:tabs>
          <w:tab w:val="left" w:pos="6775"/>
        </w:tabs>
        <w:ind w:left="426"/>
        <w:jc w:val="both"/>
        <w:rPr>
          <w:rFonts w:cs="Times New Roman"/>
          <w:sz w:val="24"/>
          <w:szCs w:val="24"/>
        </w:rPr>
      </w:pPr>
      <w:r>
        <w:rPr>
          <w:rFonts w:cs="Times New Roman"/>
          <w:sz w:val="24"/>
          <w:szCs w:val="24"/>
        </w:rPr>
        <w:t>Kanunun 6. Maddesine</w:t>
      </w:r>
      <w:r w:rsidRPr="00A439F1">
        <w:rPr>
          <w:rFonts w:cs="Times New Roman"/>
          <w:b/>
          <w:sz w:val="24"/>
          <w:szCs w:val="24"/>
        </w:rPr>
        <w:t xml:space="preserve"> </w:t>
      </w:r>
      <w:r w:rsidRPr="00187DA6">
        <w:rPr>
          <w:rFonts w:cs="Times New Roman"/>
          <w:b/>
          <w:sz w:val="24"/>
          <w:szCs w:val="24"/>
          <w:u w:val="single"/>
        </w:rPr>
        <w:t>“</w:t>
      </w:r>
      <w:r w:rsidRPr="00187DA6">
        <w:rPr>
          <w:rFonts w:cs="Times New Roman"/>
          <w:sz w:val="24"/>
          <w:szCs w:val="24"/>
          <w:u w:val="single"/>
        </w:rPr>
        <w:t>Şu kadar ki; bir kâğıt üzerinde birden fazla adi kefalet ve garanti taahhüdü bulunması hâlinde, ayrı ayrı olmak üzere bunlardan yalnızca birinden damga vergisi alınır”</w:t>
      </w:r>
      <w:r>
        <w:rPr>
          <w:rFonts w:cs="Times New Roman"/>
          <w:sz w:val="24"/>
          <w:szCs w:val="24"/>
        </w:rPr>
        <w:t xml:space="preserve"> cümlesi ve sonuna da </w:t>
      </w:r>
      <w:r w:rsidRPr="00187DA6">
        <w:rPr>
          <w:rFonts w:cs="Times New Roman"/>
          <w:sz w:val="24"/>
          <w:szCs w:val="24"/>
          <w:u w:val="single"/>
        </w:rPr>
        <w:t>“Pey akçesi, cayma tazminatı, ücret tevkifi, cezai şart gibi bir sözleşmenin müeyyidesi mahiyetinde olan taahhütlerde</w:t>
      </w:r>
      <w:r w:rsidR="00A234F9" w:rsidRPr="00187DA6">
        <w:rPr>
          <w:rFonts w:cs="Times New Roman"/>
          <w:sz w:val="24"/>
          <w:szCs w:val="24"/>
          <w:u w:val="single"/>
        </w:rPr>
        <w:t>n, başlı başına bir sözleşmeye k</w:t>
      </w:r>
      <w:r w:rsidRPr="00187DA6">
        <w:rPr>
          <w:rFonts w:cs="Times New Roman"/>
          <w:sz w:val="24"/>
          <w:szCs w:val="24"/>
          <w:u w:val="single"/>
        </w:rPr>
        <w:t>onu olmadıkça damga vergisi alınmaz”</w:t>
      </w:r>
      <w:r>
        <w:rPr>
          <w:rFonts w:cs="Times New Roman"/>
          <w:sz w:val="24"/>
          <w:szCs w:val="24"/>
        </w:rPr>
        <w:t xml:space="preserve"> cümlesi eklenmiştir.</w:t>
      </w:r>
    </w:p>
    <w:p w:rsidR="00BD64FD" w:rsidRDefault="00A234F9" w:rsidP="007E1A70">
      <w:pPr>
        <w:pStyle w:val="ListeParagraf"/>
        <w:numPr>
          <w:ilvl w:val="1"/>
          <w:numId w:val="1"/>
        </w:numPr>
        <w:tabs>
          <w:tab w:val="left" w:pos="6775"/>
        </w:tabs>
        <w:ind w:left="426"/>
        <w:jc w:val="both"/>
        <w:rPr>
          <w:rFonts w:cs="Times New Roman"/>
          <w:sz w:val="24"/>
          <w:szCs w:val="24"/>
        </w:rPr>
      </w:pPr>
      <w:r>
        <w:rPr>
          <w:rFonts w:cs="Times New Roman"/>
          <w:sz w:val="24"/>
          <w:szCs w:val="24"/>
        </w:rPr>
        <w:t xml:space="preserve">Kanunun 14. Maddesinin ikinci fıkrasının birinci cümlesinden sonra; </w:t>
      </w:r>
      <w:r w:rsidRPr="00187DA6">
        <w:rPr>
          <w:rFonts w:cs="Times New Roman"/>
          <w:sz w:val="24"/>
          <w:szCs w:val="24"/>
          <w:u w:val="single"/>
        </w:rPr>
        <w:t>“</w:t>
      </w:r>
      <w:r w:rsidR="00BD64FD" w:rsidRPr="00187DA6">
        <w:rPr>
          <w:rFonts w:cs="Times New Roman"/>
          <w:sz w:val="24"/>
          <w:szCs w:val="24"/>
          <w:u w:val="single"/>
        </w:rPr>
        <w:t>Birinci fıkraya göre azami tutardan vergi alınan mukavelenamelerin, diğer hükümlerinde değişiklik olmaksızın sadece bedelinin artması durumunda, artan bedele ilişkin bu hüküm uygulanmaz</w:t>
      </w:r>
      <w:r w:rsidRPr="00187DA6">
        <w:rPr>
          <w:rFonts w:cs="Times New Roman"/>
          <w:sz w:val="24"/>
          <w:szCs w:val="24"/>
          <w:u w:val="single"/>
        </w:rPr>
        <w:t>”</w:t>
      </w:r>
      <w:r>
        <w:rPr>
          <w:rFonts w:cs="Times New Roman"/>
          <w:sz w:val="24"/>
          <w:szCs w:val="24"/>
        </w:rPr>
        <w:t xml:space="preserve"> cümlesi eklenmiştir.</w:t>
      </w:r>
    </w:p>
    <w:p w:rsidR="00A234F9" w:rsidRDefault="00A234F9" w:rsidP="007E1A70">
      <w:pPr>
        <w:pStyle w:val="ListeParagraf"/>
        <w:numPr>
          <w:ilvl w:val="1"/>
          <w:numId w:val="1"/>
        </w:numPr>
        <w:tabs>
          <w:tab w:val="left" w:pos="6775"/>
        </w:tabs>
        <w:ind w:left="426"/>
        <w:jc w:val="both"/>
        <w:rPr>
          <w:rFonts w:cs="Times New Roman"/>
          <w:sz w:val="24"/>
          <w:szCs w:val="24"/>
        </w:rPr>
      </w:pPr>
      <w:r>
        <w:rPr>
          <w:rFonts w:cs="Times New Roman"/>
          <w:sz w:val="24"/>
          <w:szCs w:val="24"/>
        </w:rPr>
        <w:t>Kanunun mükerrer 30uncu madd</w:t>
      </w:r>
      <w:r w:rsidR="008A0D30">
        <w:rPr>
          <w:rFonts w:cs="Times New Roman"/>
          <w:sz w:val="24"/>
          <w:szCs w:val="24"/>
        </w:rPr>
        <w:t>esinin 3üncü fıkrasında belirtilen</w:t>
      </w:r>
      <w:r w:rsidR="00180D03">
        <w:rPr>
          <w:rFonts w:cs="Times New Roman"/>
          <w:sz w:val="24"/>
          <w:szCs w:val="24"/>
        </w:rPr>
        <w:t xml:space="preserve"> Bakanlar Kurulunun, kâğıtlar itibarıyla farklı nispet ve tutarlar tespit etmeye yetkili olduğu</w:t>
      </w:r>
      <w:r w:rsidR="008A0D30">
        <w:rPr>
          <w:rFonts w:cs="Times New Roman"/>
          <w:sz w:val="24"/>
          <w:szCs w:val="24"/>
        </w:rPr>
        <w:t xml:space="preserve"> damga vergisine tabi olacak kâğıtların düzenlenmesinin öngörüldüğü kurumlara </w:t>
      </w:r>
      <w:r w:rsidR="008A0D30" w:rsidRPr="00187DA6">
        <w:rPr>
          <w:rFonts w:cs="Times New Roman"/>
          <w:sz w:val="24"/>
          <w:szCs w:val="24"/>
          <w:u w:val="single"/>
        </w:rPr>
        <w:t>“Bankacılık Düzenleme ve Denetleme Kurumu”</w:t>
      </w:r>
      <w:r w:rsidR="008A0D30">
        <w:rPr>
          <w:rFonts w:cs="Times New Roman"/>
          <w:sz w:val="24"/>
          <w:szCs w:val="24"/>
        </w:rPr>
        <w:t xml:space="preserve"> eklenmiştir.</w:t>
      </w:r>
    </w:p>
    <w:p w:rsidR="008A0D30" w:rsidRDefault="008A0D30" w:rsidP="007E1A70">
      <w:pPr>
        <w:tabs>
          <w:tab w:val="left" w:pos="6775"/>
        </w:tabs>
        <w:ind w:left="426" w:firstLine="283"/>
        <w:jc w:val="both"/>
        <w:rPr>
          <w:rFonts w:cs="Times New Roman"/>
          <w:sz w:val="24"/>
          <w:szCs w:val="24"/>
        </w:rPr>
      </w:pPr>
      <w:r>
        <w:rPr>
          <w:rFonts w:cs="Times New Roman"/>
          <w:sz w:val="24"/>
          <w:szCs w:val="24"/>
        </w:rPr>
        <w:t>Mükerrer 30uncu maddenin 4üncü fıkrasında ise</w:t>
      </w:r>
      <w:r w:rsidR="00180D03">
        <w:rPr>
          <w:rFonts w:cs="Times New Roman"/>
          <w:sz w:val="24"/>
          <w:szCs w:val="24"/>
        </w:rPr>
        <w:t xml:space="preserve"> Bakanlar Kurulu,</w:t>
      </w:r>
      <w:r>
        <w:rPr>
          <w:rFonts w:cs="Times New Roman"/>
          <w:sz w:val="24"/>
          <w:szCs w:val="24"/>
        </w:rPr>
        <w:t xml:space="preserve"> Kanuna ekli 1 sayılı tabloda yer alan nispi vergileri kâğıt türleri itibarıyla </w:t>
      </w:r>
      <w:r w:rsidRPr="00187DA6">
        <w:rPr>
          <w:rFonts w:cs="Times New Roman"/>
          <w:b/>
          <w:sz w:val="24"/>
          <w:szCs w:val="24"/>
          <w:u w:val="single"/>
        </w:rPr>
        <w:t>ayrı ayrı veya birlikte sıfıra kadar indirmeye</w:t>
      </w:r>
      <w:r>
        <w:rPr>
          <w:rFonts w:cs="Times New Roman"/>
          <w:sz w:val="24"/>
          <w:szCs w:val="24"/>
        </w:rPr>
        <w:t xml:space="preserve"> yetkili kılınmıştır. Önceki halinde </w:t>
      </w:r>
      <w:r w:rsidR="00180D03">
        <w:rPr>
          <w:rFonts w:cs="Times New Roman"/>
          <w:sz w:val="24"/>
          <w:szCs w:val="24"/>
        </w:rPr>
        <w:t>nispi vergileri yalnızca bu fıkra ile arttırmadan önceki haline indirmeye yetkiliydi.</w:t>
      </w:r>
    </w:p>
    <w:p w:rsidR="000F25ED" w:rsidRDefault="00EE25F5" w:rsidP="007E1A70">
      <w:pPr>
        <w:pStyle w:val="ListeParagraf"/>
        <w:numPr>
          <w:ilvl w:val="1"/>
          <w:numId w:val="1"/>
        </w:numPr>
        <w:tabs>
          <w:tab w:val="left" w:pos="6775"/>
        </w:tabs>
        <w:ind w:left="426" w:hanging="426"/>
        <w:jc w:val="both"/>
        <w:rPr>
          <w:rFonts w:cs="Times New Roman"/>
          <w:sz w:val="24"/>
          <w:szCs w:val="24"/>
        </w:rPr>
      </w:pPr>
      <w:r>
        <w:rPr>
          <w:rFonts w:cs="Times New Roman"/>
          <w:sz w:val="24"/>
          <w:szCs w:val="24"/>
        </w:rPr>
        <w:t>488 Sayılı Damga Vergisi Kanununun ek 2inci maddesi 6728 sayılı torba kanunla değiştirilmiştir. Buna göre,</w:t>
      </w:r>
      <w:r w:rsidR="000F25ED">
        <w:rPr>
          <w:rFonts w:cs="Times New Roman"/>
          <w:sz w:val="24"/>
          <w:szCs w:val="24"/>
        </w:rPr>
        <w:t xml:space="preserve"> döviz kazandırıcı faaliyetlerin</w:t>
      </w:r>
      <w:r>
        <w:rPr>
          <w:rFonts w:cs="Times New Roman"/>
          <w:sz w:val="24"/>
          <w:szCs w:val="24"/>
        </w:rPr>
        <w:t xml:space="preserve"> Damga Vergisinden müstesna sayıl</w:t>
      </w:r>
      <w:r w:rsidR="000F25ED">
        <w:rPr>
          <w:rFonts w:cs="Times New Roman"/>
          <w:sz w:val="24"/>
          <w:szCs w:val="24"/>
        </w:rPr>
        <w:t xml:space="preserve">ması </w:t>
      </w:r>
      <w:r w:rsidRPr="00C15BB9">
        <w:rPr>
          <w:rFonts w:cs="Times New Roman"/>
          <w:b/>
          <w:sz w:val="24"/>
          <w:szCs w:val="24"/>
          <w:u w:val="single"/>
        </w:rPr>
        <w:t>Kanunun 27inci maddesinde</w:t>
      </w:r>
      <w:r w:rsidR="000F25ED">
        <w:rPr>
          <w:rFonts w:cs="Times New Roman"/>
          <w:sz w:val="24"/>
          <w:szCs w:val="24"/>
        </w:rPr>
        <w:t xml:space="preserve"> ayrıntılı biçimde anlatılmıştır</w:t>
      </w:r>
      <w:r>
        <w:rPr>
          <w:rFonts w:cs="Times New Roman"/>
          <w:sz w:val="24"/>
          <w:szCs w:val="24"/>
        </w:rPr>
        <w:t>.</w:t>
      </w:r>
    </w:p>
    <w:p w:rsidR="000F25ED" w:rsidRDefault="000F25ED" w:rsidP="00594882">
      <w:pPr>
        <w:pStyle w:val="ListeParagraf"/>
        <w:numPr>
          <w:ilvl w:val="2"/>
          <w:numId w:val="1"/>
        </w:numPr>
        <w:tabs>
          <w:tab w:val="left" w:pos="6775"/>
        </w:tabs>
        <w:ind w:left="426" w:hanging="426"/>
        <w:jc w:val="both"/>
        <w:rPr>
          <w:rFonts w:cs="Times New Roman"/>
          <w:sz w:val="24"/>
          <w:szCs w:val="24"/>
        </w:rPr>
      </w:pPr>
      <w:r w:rsidRPr="000F25ED">
        <w:rPr>
          <w:rFonts w:cs="Times New Roman"/>
          <w:sz w:val="24"/>
          <w:szCs w:val="24"/>
        </w:rPr>
        <w:t>İhracat ve ihracata ilişkin ol</w:t>
      </w:r>
      <w:r w:rsidR="00187DA6">
        <w:rPr>
          <w:rFonts w:cs="Times New Roman"/>
          <w:sz w:val="24"/>
          <w:szCs w:val="24"/>
        </w:rPr>
        <w:t>duğunun tevsiki kaydıyla Kanunda</w:t>
      </w:r>
      <w:r w:rsidRPr="000F25ED">
        <w:rPr>
          <w:rFonts w:cs="Times New Roman"/>
          <w:sz w:val="24"/>
          <w:szCs w:val="24"/>
        </w:rPr>
        <w:t xml:space="preserve"> sayılan işlemler nedeniyle düzenlenen kâğıtlar (gümrük idarelerine verilen beyannameler dâhil</w:t>
      </w:r>
      <w:r>
        <w:rPr>
          <w:rFonts w:cs="Times New Roman"/>
          <w:sz w:val="24"/>
          <w:szCs w:val="24"/>
        </w:rPr>
        <w:t>) damga vergisinden müstesnadır</w:t>
      </w:r>
      <w:r w:rsidR="00187DA6">
        <w:rPr>
          <w:rFonts w:cs="Times New Roman"/>
          <w:sz w:val="24"/>
          <w:szCs w:val="24"/>
        </w:rPr>
        <w:t xml:space="preserve"> </w:t>
      </w:r>
      <w:r>
        <w:rPr>
          <w:rFonts w:cs="Times New Roman"/>
          <w:sz w:val="24"/>
          <w:szCs w:val="24"/>
        </w:rPr>
        <w:t>(Bununla ilgili anlaşmalar, satın almalar, ödemeler Kanunda ayrıntılı şekilde açıklanmıştır).</w:t>
      </w:r>
    </w:p>
    <w:p w:rsidR="00594882" w:rsidRPr="00594882" w:rsidRDefault="000F25ED" w:rsidP="00594882">
      <w:pPr>
        <w:pStyle w:val="ListeParagraf"/>
        <w:numPr>
          <w:ilvl w:val="2"/>
          <w:numId w:val="1"/>
        </w:numPr>
        <w:tabs>
          <w:tab w:val="left" w:pos="6775"/>
        </w:tabs>
        <w:ind w:left="426" w:hanging="426"/>
        <w:jc w:val="both"/>
        <w:rPr>
          <w:rFonts w:cs="Times New Roman"/>
          <w:sz w:val="24"/>
          <w:szCs w:val="24"/>
        </w:rPr>
      </w:pPr>
      <w:r w:rsidRPr="000F25ED">
        <w:rPr>
          <w:rFonts w:cs="Times New Roman"/>
          <w:sz w:val="24"/>
          <w:szCs w:val="24"/>
        </w:rPr>
        <w:lastRenderedPageBreak/>
        <w:t>Vergi, Resim, Harç İsti</w:t>
      </w:r>
      <w:r w:rsidR="00187DA6">
        <w:rPr>
          <w:rFonts w:cs="Times New Roman"/>
          <w:sz w:val="24"/>
          <w:szCs w:val="24"/>
        </w:rPr>
        <w:t>snası Belgesine bağlanan Kanunda</w:t>
      </w:r>
      <w:r w:rsidRPr="000F25ED">
        <w:rPr>
          <w:rFonts w:cs="Times New Roman"/>
          <w:sz w:val="24"/>
          <w:szCs w:val="24"/>
        </w:rPr>
        <w:t xml:space="preserve"> sayılan diğer döviz kazandırıcı faaliyetlere ilişkin işlemler nedeniyle, belgenin geçerlilik süresi içerisinde belgede yer alan tutarla sınırlı olmak kaydıyla, düzenlenen kâğıtlar damga vergisinden müstesnadır.</w:t>
      </w:r>
    </w:p>
    <w:p w:rsidR="00594882" w:rsidRPr="00594882" w:rsidRDefault="000F25ED" w:rsidP="00594882">
      <w:pPr>
        <w:pStyle w:val="ListeParagraf"/>
        <w:numPr>
          <w:ilvl w:val="2"/>
          <w:numId w:val="1"/>
        </w:numPr>
        <w:tabs>
          <w:tab w:val="left" w:pos="6775"/>
        </w:tabs>
        <w:ind w:left="426" w:hanging="426"/>
        <w:jc w:val="both"/>
        <w:rPr>
          <w:rFonts w:cs="Times New Roman"/>
          <w:sz w:val="24"/>
          <w:szCs w:val="24"/>
        </w:rPr>
      </w:pPr>
      <w:r w:rsidRPr="000F25ED">
        <w:rPr>
          <w:rFonts w:cs="Times New Roman"/>
          <w:sz w:val="24"/>
          <w:szCs w:val="24"/>
        </w:rPr>
        <w:t>Vergi, Resim, Harç İstisnası Belgesi almak amacıyla proje formu ekinde verilecek taahhütnameler ile</w:t>
      </w:r>
      <w:r>
        <w:rPr>
          <w:rFonts w:cs="Times New Roman"/>
          <w:sz w:val="24"/>
          <w:szCs w:val="24"/>
        </w:rPr>
        <w:t xml:space="preserve"> 6728 sayılı kanunun 27inci maddesinin </w:t>
      </w:r>
      <w:r w:rsidRPr="000F25ED">
        <w:rPr>
          <w:rFonts w:cs="Times New Roman"/>
          <w:sz w:val="24"/>
          <w:szCs w:val="24"/>
        </w:rPr>
        <w:t xml:space="preserve">(2) numaralı fıkrasının (a), (b), (d), (e), (g), (j), (l) ve (o) bentlerinde sayılan işlem ve faaliyetlere ilişkin sözleşme safhasından önceki teminatlar ve ihale kararlarına </w:t>
      </w:r>
      <w:r w:rsidRPr="00187DA6">
        <w:rPr>
          <w:rFonts w:cs="Times New Roman"/>
          <w:sz w:val="24"/>
          <w:szCs w:val="24"/>
          <w:u w:val="single"/>
        </w:rPr>
        <w:t>belge aranmaksızın resen damga vergisi istisnası uygulanır.</w:t>
      </w:r>
    </w:p>
    <w:p w:rsidR="00594882" w:rsidRPr="00594882" w:rsidRDefault="00C15BB9" w:rsidP="00594882">
      <w:pPr>
        <w:pStyle w:val="ListeParagraf"/>
        <w:numPr>
          <w:ilvl w:val="2"/>
          <w:numId w:val="1"/>
        </w:numPr>
        <w:tabs>
          <w:tab w:val="left" w:pos="6775"/>
        </w:tabs>
        <w:ind w:left="426" w:hanging="426"/>
        <w:jc w:val="both"/>
        <w:rPr>
          <w:rFonts w:cs="Times New Roman"/>
          <w:sz w:val="24"/>
          <w:szCs w:val="24"/>
        </w:rPr>
      </w:pPr>
      <w:r>
        <w:rPr>
          <w:rFonts w:cs="Times New Roman"/>
          <w:sz w:val="24"/>
          <w:szCs w:val="24"/>
        </w:rPr>
        <w:t>Uygulamada</w:t>
      </w:r>
      <w:r w:rsidR="000F25ED">
        <w:rPr>
          <w:rFonts w:cs="Times New Roman"/>
          <w:sz w:val="24"/>
          <w:szCs w:val="24"/>
        </w:rPr>
        <w:t xml:space="preserve"> kullanılacak olan </w:t>
      </w:r>
      <w:r w:rsidR="000F25ED" w:rsidRPr="00187DA6">
        <w:rPr>
          <w:rFonts w:cs="Times New Roman"/>
          <w:sz w:val="24"/>
          <w:szCs w:val="24"/>
          <w:u w:val="single"/>
        </w:rPr>
        <w:t>“Uluslararası İhale”</w:t>
      </w:r>
      <w:r w:rsidR="000F25ED">
        <w:rPr>
          <w:rFonts w:cs="Times New Roman"/>
          <w:sz w:val="24"/>
          <w:szCs w:val="24"/>
        </w:rPr>
        <w:t xml:space="preserve"> ve </w:t>
      </w:r>
      <w:r w:rsidR="009403B8" w:rsidRPr="00187DA6">
        <w:rPr>
          <w:rFonts w:cs="Times New Roman"/>
          <w:sz w:val="24"/>
          <w:szCs w:val="24"/>
          <w:u w:val="single"/>
        </w:rPr>
        <w:t>“Vergi, Resim, Harç İstisnası Belgesi”</w:t>
      </w:r>
      <w:r w:rsidR="009403B8">
        <w:rPr>
          <w:rFonts w:cs="Times New Roman"/>
          <w:sz w:val="24"/>
          <w:szCs w:val="24"/>
        </w:rPr>
        <w:t xml:space="preserve"> tanımlanmıştır.</w:t>
      </w:r>
      <w:r w:rsidR="00827AD6" w:rsidRPr="00827AD6">
        <w:rPr>
          <w:rFonts w:ascii="Times New Roman" w:eastAsiaTheme="minorEastAsia" w:hAnsi="Times New Roman" w:cs="Times New Roman"/>
          <w:color w:val="BFBFBF" w:themeColor="background1" w:themeShade="BF"/>
        </w:rPr>
        <w:t xml:space="preserve"> </w:t>
      </w:r>
      <w:r w:rsidR="00827AD6" w:rsidRPr="00827AD6">
        <w:rPr>
          <w:rFonts w:cs="Times New Roman"/>
          <w:sz w:val="24"/>
          <w:szCs w:val="24"/>
        </w:rPr>
        <w:t>Bu maddede geçen tam ve dar mükellefiyetin kapsamı Gelir Vergisi Kanununa ve Kurumlar Vergisi Kanun</w:t>
      </w:r>
      <w:r w:rsidR="00594882">
        <w:rPr>
          <w:rFonts w:cs="Times New Roman"/>
          <w:sz w:val="24"/>
          <w:szCs w:val="24"/>
        </w:rPr>
        <w:t>una göre tayin ve tespit edilir.</w:t>
      </w:r>
    </w:p>
    <w:p w:rsidR="00594882" w:rsidRPr="00594882" w:rsidRDefault="00827AD6" w:rsidP="00594882">
      <w:pPr>
        <w:pStyle w:val="ListeParagraf"/>
        <w:numPr>
          <w:ilvl w:val="2"/>
          <w:numId w:val="1"/>
        </w:numPr>
        <w:tabs>
          <w:tab w:val="left" w:pos="6775"/>
        </w:tabs>
        <w:ind w:left="426" w:hanging="426"/>
        <w:jc w:val="both"/>
        <w:rPr>
          <w:rFonts w:cs="Times New Roman"/>
          <w:sz w:val="24"/>
          <w:szCs w:val="24"/>
        </w:rPr>
      </w:pPr>
      <w:r w:rsidRPr="00827AD6">
        <w:rPr>
          <w:rFonts w:cs="Times New Roman"/>
          <w:sz w:val="24"/>
          <w:szCs w:val="24"/>
        </w:rPr>
        <w:t>Bu maddede sayılan işlem veya faaliyetlerin kısmen veya tamamen gerçekleştirilmemesi hâlinde, gerçekleşmeyen kısma ait alınmayan damga vergisi, mükelleflerden, 213 sayılı Vergi Usul Kanunu hükümlerine göre ceza ve gecikme faizi ile birlikte geri alınır.</w:t>
      </w:r>
    </w:p>
    <w:p w:rsidR="00827AD6" w:rsidRDefault="00BC3E40" w:rsidP="00594882">
      <w:pPr>
        <w:pStyle w:val="ListeParagraf"/>
        <w:numPr>
          <w:ilvl w:val="2"/>
          <w:numId w:val="1"/>
        </w:numPr>
        <w:tabs>
          <w:tab w:val="left" w:pos="6775"/>
        </w:tabs>
        <w:ind w:left="426" w:hanging="426"/>
        <w:jc w:val="both"/>
        <w:rPr>
          <w:rFonts w:cs="Times New Roman"/>
          <w:sz w:val="24"/>
          <w:szCs w:val="24"/>
        </w:rPr>
      </w:pPr>
      <w:r w:rsidRPr="00BC3E40">
        <w:rPr>
          <w:rFonts w:cs="Times New Roman"/>
          <w:sz w:val="24"/>
          <w:szCs w:val="24"/>
        </w:rPr>
        <w:t xml:space="preserve">Bu maddenin uygulanması bakımından; birinci ve ikinci fıkralarda yer alan döviz kazandırıcı faaliyetlere ilave olarak döviz kazandırıcı diğer faaliyetleri, belge kapsamında istisna uygulanacak işlem ve faaliyetlerin aşamaları ile diğer usul ve esasları belirlemeye </w:t>
      </w:r>
      <w:r w:rsidRPr="00187DA6">
        <w:rPr>
          <w:rFonts w:cs="Times New Roman"/>
          <w:b/>
          <w:sz w:val="24"/>
          <w:szCs w:val="24"/>
          <w:u w:val="single"/>
        </w:rPr>
        <w:t>Maliye</w:t>
      </w:r>
      <w:r w:rsidRPr="00187DA6">
        <w:rPr>
          <w:rFonts w:cs="Times New Roman"/>
          <w:sz w:val="24"/>
          <w:szCs w:val="24"/>
          <w:u w:val="single"/>
        </w:rPr>
        <w:t xml:space="preserve"> </w:t>
      </w:r>
      <w:r w:rsidRPr="00187DA6">
        <w:rPr>
          <w:rFonts w:cs="Times New Roman"/>
          <w:b/>
          <w:sz w:val="24"/>
          <w:szCs w:val="24"/>
          <w:u w:val="single"/>
        </w:rPr>
        <w:t>Bakanlığı</w:t>
      </w:r>
      <w:r w:rsidRPr="00187DA6">
        <w:rPr>
          <w:rFonts w:cs="Times New Roman"/>
          <w:sz w:val="24"/>
          <w:szCs w:val="24"/>
          <w:u w:val="single"/>
        </w:rPr>
        <w:t xml:space="preserve"> ile </w:t>
      </w:r>
      <w:r w:rsidRPr="00187DA6">
        <w:rPr>
          <w:rFonts w:cs="Times New Roman"/>
          <w:b/>
          <w:sz w:val="24"/>
          <w:szCs w:val="24"/>
          <w:u w:val="single"/>
        </w:rPr>
        <w:t>Ekonomi Bakanlığı</w:t>
      </w:r>
      <w:r w:rsidRPr="00187DA6">
        <w:rPr>
          <w:rFonts w:cs="Times New Roman"/>
          <w:sz w:val="24"/>
          <w:szCs w:val="24"/>
          <w:u w:val="single"/>
        </w:rPr>
        <w:t xml:space="preserve"> birlikte yetkilidir.</w:t>
      </w:r>
    </w:p>
    <w:p w:rsidR="00BC3E40" w:rsidRDefault="00BC3E40" w:rsidP="007E1A70">
      <w:pPr>
        <w:pStyle w:val="ListeParagraf"/>
        <w:tabs>
          <w:tab w:val="left" w:pos="6775"/>
        </w:tabs>
        <w:ind w:left="426" w:firstLine="425"/>
        <w:jc w:val="both"/>
        <w:rPr>
          <w:rFonts w:cs="Times New Roman"/>
          <w:sz w:val="24"/>
          <w:szCs w:val="24"/>
        </w:rPr>
      </w:pPr>
    </w:p>
    <w:p w:rsidR="00A439F1" w:rsidRPr="00187DA6" w:rsidRDefault="00EE25F5" w:rsidP="007E1A70">
      <w:pPr>
        <w:pStyle w:val="ListeParagraf"/>
        <w:tabs>
          <w:tab w:val="left" w:pos="6775"/>
        </w:tabs>
        <w:ind w:left="0" w:firstLine="425"/>
        <w:jc w:val="both"/>
        <w:rPr>
          <w:rFonts w:cs="Times New Roman"/>
          <w:sz w:val="24"/>
          <w:szCs w:val="24"/>
          <w:u w:val="single"/>
        </w:rPr>
      </w:pPr>
      <w:r w:rsidRPr="00187DA6">
        <w:rPr>
          <w:rFonts w:cs="Times New Roman"/>
          <w:sz w:val="24"/>
          <w:szCs w:val="24"/>
          <w:u w:val="single"/>
        </w:rPr>
        <w:t xml:space="preserve">Ayrıca 15.7.2016 tarihli ve 6728 sayılı Kanunun 76ncı maddesiyle, bu bendin hükümlerinin 6728 sayılı Kanunun yayım tarihi olan </w:t>
      </w:r>
      <w:r w:rsidRPr="00187DA6">
        <w:rPr>
          <w:rFonts w:cs="Times New Roman"/>
          <w:b/>
          <w:sz w:val="24"/>
          <w:szCs w:val="24"/>
          <w:u w:val="single"/>
        </w:rPr>
        <w:t>9.8.2016’dan sonra</w:t>
      </w:r>
      <w:r w:rsidRPr="00187DA6">
        <w:rPr>
          <w:rFonts w:cs="Times New Roman"/>
          <w:sz w:val="24"/>
          <w:szCs w:val="24"/>
          <w:u w:val="single"/>
        </w:rPr>
        <w:t xml:space="preserve"> yapılan proje ve işlere uygulanmak üzere yayımı tarihinde yürürlüğe gireceği hüküm altına alınmıştır.</w:t>
      </w:r>
    </w:p>
    <w:p w:rsidR="00B16F05" w:rsidRDefault="00B16F05" w:rsidP="007E1A70">
      <w:pPr>
        <w:pStyle w:val="ListeParagraf"/>
        <w:tabs>
          <w:tab w:val="left" w:pos="6775"/>
        </w:tabs>
        <w:ind w:left="0" w:firstLine="425"/>
        <w:jc w:val="both"/>
        <w:rPr>
          <w:rFonts w:cs="Times New Roman"/>
          <w:sz w:val="24"/>
          <w:szCs w:val="24"/>
        </w:rPr>
      </w:pPr>
    </w:p>
    <w:p w:rsidR="00B16F05" w:rsidRDefault="00B16F05" w:rsidP="007E1A70">
      <w:pPr>
        <w:pStyle w:val="ListeParagraf"/>
        <w:numPr>
          <w:ilvl w:val="1"/>
          <w:numId w:val="1"/>
        </w:numPr>
        <w:tabs>
          <w:tab w:val="left" w:pos="6775"/>
        </w:tabs>
        <w:ind w:left="426" w:hanging="426"/>
        <w:jc w:val="both"/>
        <w:rPr>
          <w:rFonts w:cs="Times New Roman"/>
          <w:sz w:val="24"/>
          <w:szCs w:val="24"/>
        </w:rPr>
      </w:pPr>
      <w:r w:rsidRPr="00B16F05">
        <w:rPr>
          <w:rFonts w:cs="Times New Roman"/>
          <w:sz w:val="24"/>
          <w:szCs w:val="24"/>
        </w:rPr>
        <w:t>488 sayılı Kanuna ekli (1) Sayılı Tablonun;</w:t>
      </w:r>
    </w:p>
    <w:p w:rsidR="00B16F05" w:rsidRPr="00594882" w:rsidRDefault="00FF2416" w:rsidP="00594882">
      <w:pPr>
        <w:pStyle w:val="ListeParagraf"/>
        <w:numPr>
          <w:ilvl w:val="2"/>
          <w:numId w:val="1"/>
        </w:numPr>
        <w:tabs>
          <w:tab w:val="left" w:pos="6775"/>
        </w:tabs>
        <w:ind w:left="426" w:hanging="426"/>
        <w:jc w:val="both"/>
        <w:rPr>
          <w:rFonts w:cs="Times New Roman"/>
          <w:sz w:val="24"/>
          <w:szCs w:val="24"/>
        </w:rPr>
      </w:pPr>
      <w:r w:rsidRPr="00594882">
        <w:rPr>
          <w:rFonts w:cs="Times New Roman"/>
          <w:sz w:val="24"/>
          <w:szCs w:val="24"/>
        </w:rPr>
        <w:t>“</w:t>
      </w:r>
      <w:r w:rsidRPr="00594882">
        <w:rPr>
          <w:rFonts w:cs="Times New Roman"/>
          <w:b/>
          <w:sz w:val="24"/>
          <w:szCs w:val="24"/>
        </w:rPr>
        <w:t xml:space="preserve">I. Akitlerle ilgili kâğıtlar” </w:t>
      </w:r>
      <w:r w:rsidRPr="00594882">
        <w:rPr>
          <w:rFonts w:cs="Times New Roman"/>
          <w:sz w:val="24"/>
          <w:szCs w:val="24"/>
        </w:rPr>
        <w:t>başlıklı bölümünün “</w:t>
      </w:r>
      <w:r w:rsidRPr="00594882">
        <w:rPr>
          <w:rFonts w:cs="Times New Roman"/>
          <w:b/>
          <w:sz w:val="24"/>
          <w:szCs w:val="24"/>
        </w:rPr>
        <w:t>A. Belli parayı ihtiva eden kâğıtlar</w:t>
      </w:r>
      <w:r w:rsidRPr="00594882">
        <w:rPr>
          <w:rFonts w:cs="Times New Roman"/>
          <w:sz w:val="24"/>
          <w:szCs w:val="24"/>
        </w:rPr>
        <w:t xml:space="preserve">” </w:t>
      </w:r>
      <w:r w:rsidR="00594882" w:rsidRPr="00594882">
        <w:rPr>
          <w:rFonts w:cs="Times New Roman"/>
          <w:sz w:val="24"/>
          <w:szCs w:val="24"/>
        </w:rPr>
        <w:t>başlıklı fıkrasına eklemeler yapılmıştır</w:t>
      </w:r>
      <w:r w:rsidRPr="00594882">
        <w:rPr>
          <w:rFonts w:cs="Times New Roman"/>
          <w:sz w:val="24"/>
          <w:szCs w:val="24"/>
        </w:rPr>
        <w:t>. Bu eklemeler;</w:t>
      </w:r>
      <w:r w:rsidRPr="00594882">
        <w:rPr>
          <w:rFonts w:ascii="Times New Roman" w:eastAsia="Times New Roman" w:hAnsi="Times New Roman" w:cs="Times New Roman"/>
        </w:rPr>
        <w:t xml:space="preserve"> </w:t>
      </w:r>
      <w:r w:rsidR="00035E42" w:rsidRPr="00594882">
        <w:rPr>
          <w:rFonts w:ascii="Times New Roman" w:eastAsia="Times New Roman" w:hAnsi="Times New Roman" w:cs="Times New Roman"/>
        </w:rPr>
        <w:t xml:space="preserve"> </w:t>
      </w:r>
      <w:r w:rsidRPr="00594882">
        <w:rPr>
          <w:rFonts w:cs="Times New Roman"/>
          <w:sz w:val="24"/>
          <w:szCs w:val="24"/>
        </w:rPr>
        <w:t>ön izin, irtifak hakkı veya kullanma izni sözleşmeleri,</w:t>
      </w:r>
      <w:r w:rsidRPr="00594882">
        <w:rPr>
          <w:rFonts w:ascii="Times New Roman" w:eastAsia="Times New Roman" w:hAnsi="Times New Roman" w:cs="Times New Roman"/>
        </w:rPr>
        <w:t xml:space="preserve"> </w:t>
      </w:r>
      <w:r w:rsidRPr="00594882">
        <w:rPr>
          <w:rFonts w:cs="Times New Roman"/>
          <w:sz w:val="24"/>
          <w:szCs w:val="24"/>
        </w:rPr>
        <w:t>gayrimenkul satış vaadi sözleşmeleri, resmi dairelerle yapılan sözleşmeler, Tüketicinin Korunması Hakkında Kanun kapsamında düzenlenen sözleşmeler, turist rehberliğine ilişkin sözleşmeler, Elektrik Piyasası Kanunu kapsamında düzenlenen sözleşmeler ve Doğal Gaz Piyasası Kanunu kapsamında düzenlenen sözleşmeler ile ilgilidir.</w:t>
      </w:r>
    </w:p>
    <w:p w:rsidR="00BC3E40" w:rsidRPr="00035E42" w:rsidRDefault="00FF2416" w:rsidP="00594882">
      <w:pPr>
        <w:pStyle w:val="ListeParagraf"/>
        <w:numPr>
          <w:ilvl w:val="2"/>
          <w:numId w:val="1"/>
        </w:numPr>
        <w:tabs>
          <w:tab w:val="left" w:pos="6775"/>
        </w:tabs>
        <w:ind w:left="426" w:hanging="426"/>
        <w:jc w:val="both"/>
        <w:rPr>
          <w:rFonts w:cs="Times New Roman"/>
          <w:sz w:val="24"/>
          <w:szCs w:val="24"/>
        </w:rPr>
      </w:pPr>
      <w:r w:rsidRPr="00FF2416">
        <w:rPr>
          <w:rFonts w:cs="Times New Roman"/>
          <w:sz w:val="24"/>
          <w:szCs w:val="24"/>
        </w:rPr>
        <w:t>“</w:t>
      </w:r>
      <w:r w:rsidRPr="00FF2416">
        <w:rPr>
          <w:rFonts w:cs="Times New Roman"/>
          <w:b/>
          <w:sz w:val="24"/>
          <w:szCs w:val="24"/>
        </w:rPr>
        <w:t>II. Kararlar ve mazbatalar</w:t>
      </w:r>
      <w:r w:rsidRPr="00FF2416">
        <w:rPr>
          <w:rFonts w:cs="Times New Roman"/>
          <w:sz w:val="24"/>
          <w:szCs w:val="24"/>
        </w:rPr>
        <w:t>” başlıklı bölümünün (2) numaralı fıkrası</w:t>
      </w:r>
      <w:r>
        <w:rPr>
          <w:rFonts w:cs="Times New Roman"/>
          <w:sz w:val="24"/>
          <w:szCs w:val="24"/>
        </w:rPr>
        <w:t>na “</w:t>
      </w:r>
      <w:r w:rsidRPr="00FF2416">
        <w:rPr>
          <w:rFonts w:cs="Times New Roman"/>
          <w:sz w:val="24"/>
          <w:szCs w:val="24"/>
          <w:u w:val="single"/>
        </w:rPr>
        <w:t xml:space="preserve">4.1.2002 tarihli ve 4734 sayılı Kamu İhale Kanunu kapsamındaki kurum ve kuruluşlara şikâyet veya Kamu İhale Kurumuna </w:t>
      </w:r>
      <w:proofErr w:type="spellStart"/>
      <w:r w:rsidRPr="00FF2416">
        <w:rPr>
          <w:rFonts w:cs="Times New Roman"/>
          <w:sz w:val="24"/>
          <w:szCs w:val="24"/>
          <w:u w:val="single"/>
        </w:rPr>
        <w:t>itirazen</w:t>
      </w:r>
      <w:proofErr w:type="spellEnd"/>
      <w:r w:rsidRPr="00FF2416">
        <w:rPr>
          <w:rFonts w:cs="Times New Roman"/>
          <w:sz w:val="24"/>
          <w:szCs w:val="24"/>
          <w:u w:val="single"/>
        </w:rPr>
        <w:t xml:space="preserve"> şikâyet ya da yargı kararı üzerine ihalenin iptal edilmesi hâlinde, bu ihale kararının hükmünden yararlanılmayan kısmına isabet eden damga vergisi ret ve iade olunur. Sözleşmenin düzenlenmiş olması durumunda sözleşmeye ilişkin damga vergisi ret ve iade edilmez</w:t>
      </w:r>
      <w:r>
        <w:rPr>
          <w:rFonts w:cs="Times New Roman"/>
          <w:sz w:val="24"/>
          <w:szCs w:val="24"/>
        </w:rPr>
        <w:t>”</w:t>
      </w:r>
      <w:r w:rsidR="00035E42">
        <w:rPr>
          <w:rFonts w:cs="Times New Roman"/>
          <w:sz w:val="24"/>
          <w:szCs w:val="24"/>
        </w:rPr>
        <w:t xml:space="preserve"> cümlesi</w:t>
      </w:r>
      <w:r>
        <w:rPr>
          <w:rFonts w:cs="Times New Roman"/>
          <w:sz w:val="24"/>
          <w:szCs w:val="24"/>
        </w:rPr>
        <w:t xml:space="preserve"> eklenmiştir.</w:t>
      </w:r>
    </w:p>
    <w:p w:rsidR="00035E42" w:rsidRDefault="00035E42" w:rsidP="00594882">
      <w:pPr>
        <w:pStyle w:val="ListeParagraf"/>
        <w:numPr>
          <w:ilvl w:val="2"/>
          <w:numId w:val="1"/>
        </w:numPr>
        <w:tabs>
          <w:tab w:val="left" w:pos="6775"/>
        </w:tabs>
        <w:ind w:left="426" w:hanging="426"/>
        <w:jc w:val="both"/>
        <w:rPr>
          <w:rFonts w:cs="Times New Roman"/>
          <w:sz w:val="24"/>
          <w:szCs w:val="24"/>
        </w:rPr>
      </w:pPr>
      <w:r w:rsidRPr="00035E42">
        <w:rPr>
          <w:rFonts w:cs="Times New Roman"/>
          <w:sz w:val="24"/>
          <w:szCs w:val="24"/>
        </w:rPr>
        <w:t>“</w:t>
      </w:r>
      <w:r w:rsidRPr="00035E42">
        <w:rPr>
          <w:rFonts w:cs="Times New Roman"/>
          <w:b/>
          <w:sz w:val="24"/>
          <w:szCs w:val="24"/>
        </w:rPr>
        <w:t>IV. Makbuzlar ve diğer kâğıtlar”</w:t>
      </w:r>
      <w:r w:rsidR="007E1A70">
        <w:rPr>
          <w:rFonts w:cs="Times New Roman"/>
          <w:sz w:val="24"/>
          <w:szCs w:val="24"/>
        </w:rPr>
        <w:t xml:space="preserve"> bölümünün “Beyannameler” başlıklı fıkrasının;</w:t>
      </w:r>
    </w:p>
    <w:p w:rsidR="00594882" w:rsidRDefault="007E1A70" w:rsidP="00594882">
      <w:pPr>
        <w:pStyle w:val="ListeParagraf"/>
        <w:tabs>
          <w:tab w:val="left" w:pos="6775"/>
        </w:tabs>
        <w:ind w:left="426"/>
        <w:jc w:val="both"/>
        <w:rPr>
          <w:rFonts w:cs="Times New Roman"/>
          <w:sz w:val="24"/>
          <w:szCs w:val="24"/>
        </w:rPr>
      </w:pPr>
      <w:r w:rsidRPr="007E1A70">
        <w:rPr>
          <w:rFonts w:cs="Times New Roman"/>
          <w:sz w:val="24"/>
          <w:szCs w:val="24"/>
        </w:rPr>
        <w:t>(</w:t>
      </w:r>
      <w:r>
        <w:rPr>
          <w:rFonts w:cs="Times New Roman"/>
          <w:sz w:val="24"/>
          <w:szCs w:val="24"/>
        </w:rPr>
        <w:t>b) bendine “Vergi beyannameleri</w:t>
      </w:r>
      <w:r w:rsidRPr="007E1A70">
        <w:rPr>
          <w:rFonts w:cs="Times New Roman"/>
          <w:sz w:val="24"/>
          <w:szCs w:val="24"/>
        </w:rPr>
        <w:t>” ibaresinden sonra gelmek üzere “((f) bendi dâhil olmak üzere, beyanname verme süresi içerisinde düzeltme amacıyla verilen beyannameler hariç)”</w:t>
      </w:r>
      <w:r>
        <w:rPr>
          <w:rFonts w:cs="Times New Roman"/>
          <w:sz w:val="24"/>
          <w:szCs w:val="24"/>
        </w:rPr>
        <w:t xml:space="preserve"> parantez içi hükmü eklenmiştir, </w:t>
      </w:r>
      <w:r w:rsidRPr="007E1A70">
        <w:rPr>
          <w:rFonts w:cs="Times New Roman"/>
          <w:sz w:val="24"/>
          <w:szCs w:val="24"/>
        </w:rPr>
        <w:t xml:space="preserve">(f) bendi </w:t>
      </w:r>
      <w:r>
        <w:rPr>
          <w:rFonts w:cs="Times New Roman"/>
          <w:sz w:val="24"/>
          <w:szCs w:val="24"/>
        </w:rPr>
        <w:t xml:space="preserve">ise </w:t>
      </w:r>
      <w:r w:rsidRPr="007E1A70">
        <w:rPr>
          <w:rFonts w:cs="Times New Roman"/>
          <w:sz w:val="24"/>
          <w:szCs w:val="24"/>
        </w:rPr>
        <w:t>“</w:t>
      </w:r>
      <w:r>
        <w:rPr>
          <w:rFonts w:cs="Times New Roman"/>
          <w:sz w:val="24"/>
          <w:szCs w:val="24"/>
        </w:rPr>
        <w:t>(</w:t>
      </w:r>
      <w:r w:rsidRPr="007E1A70">
        <w:rPr>
          <w:rFonts w:cs="Times New Roman"/>
          <w:sz w:val="24"/>
          <w:szCs w:val="24"/>
        </w:rPr>
        <w:t>f) 31.5.2006 tarihli ve 5510 sayılı Sosyal Sigortalar ve Genel Sağlık Sigortası Kanunu uyarınca verilmesi gereken aylık prim ve hizmet belgesi ile muhtasar beyannamenin birleştirilerek verilmesiyle oluşturulan beyannameler (37,40 TL.)”</w:t>
      </w:r>
      <w:r>
        <w:rPr>
          <w:rFonts w:cs="Times New Roman"/>
          <w:sz w:val="24"/>
          <w:szCs w:val="24"/>
        </w:rPr>
        <w:t xml:space="preserve"> </w:t>
      </w:r>
      <w:r w:rsidRPr="007E1A70">
        <w:rPr>
          <w:rFonts w:cs="Times New Roman"/>
          <w:sz w:val="24"/>
          <w:szCs w:val="24"/>
        </w:rPr>
        <w:t>şekilde değiştirilmiştir.</w:t>
      </w:r>
      <w:r>
        <w:rPr>
          <w:rFonts w:cs="Times New Roman"/>
          <w:sz w:val="24"/>
          <w:szCs w:val="24"/>
        </w:rPr>
        <w:t xml:space="preserve"> </w:t>
      </w:r>
    </w:p>
    <w:p w:rsidR="00594882" w:rsidRDefault="00594882" w:rsidP="00594882">
      <w:pPr>
        <w:pStyle w:val="ListeParagraf"/>
        <w:tabs>
          <w:tab w:val="left" w:pos="6775"/>
        </w:tabs>
        <w:ind w:left="426"/>
        <w:jc w:val="both"/>
        <w:rPr>
          <w:rFonts w:cs="Times New Roman"/>
          <w:sz w:val="24"/>
          <w:szCs w:val="24"/>
        </w:rPr>
      </w:pPr>
    </w:p>
    <w:p w:rsidR="00A472E9" w:rsidRDefault="007E1A70" w:rsidP="00594882">
      <w:pPr>
        <w:pStyle w:val="ListeParagraf"/>
        <w:tabs>
          <w:tab w:val="left" w:pos="6775"/>
        </w:tabs>
        <w:ind w:left="0" w:firstLine="426"/>
        <w:jc w:val="both"/>
        <w:rPr>
          <w:rFonts w:cs="Times New Roman"/>
          <w:sz w:val="24"/>
          <w:szCs w:val="24"/>
          <w:u w:val="single"/>
        </w:rPr>
      </w:pPr>
      <w:r>
        <w:rPr>
          <w:rFonts w:cs="Times New Roman"/>
          <w:sz w:val="24"/>
          <w:szCs w:val="24"/>
        </w:rPr>
        <w:t xml:space="preserve">Değişiklikten önceki halinde </w:t>
      </w:r>
      <w:r w:rsidR="00A472E9" w:rsidRPr="00A472E9">
        <w:rPr>
          <w:rFonts w:cs="Times New Roman"/>
          <w:sz w:val="24"/>
          <w:szCs w:val="24"/>
        </w:rPr>
        <w:t>“</w:t>
      </w:r>
      <w:r w:rsidRPr="00A472E9">
        <w:rPr>
          <w:rFonts w:eastAsia="Times New Roman" w:cs="Times New Roman"/>
          <w:i/>
          <w:sz w:val="24"/>
          <w:szCs w:val="24"/>
        </w:rPr>
        <w:t xml:space="preserve">Elektronik ortamda birlikte verilen muhtasar beyanname ve sigorta prim bildirgesinden sadece muhtasar beyanname </w:t>
      </w:r>
      <w:r w:rsidRPr="00594882">
        <w:rPr>
          <w:rFonts w:eastAsia="Times New Roman" w:cs="Times New Roman"/>
          <w:i/>
          <w:sz w:val="24"/>
          <w:szCs w:val="24"/>
        </w:rPr>
        <w:t>için</w:t>
      </w:r>
      <w:r w:rsidRPr="00594882">
        <w:rPr>
          <w:rFonts w:cs="Times New Roman"/>
          <w:noProof/>
          <w:sz w:val="24"/>
          <w:szCs w:val="24"/>
        </w:rPr>
        <w:t>)</w:t>
      </w:r>
      <w:r w:rsidRPr="00A472E9">
        <w:rPr>
          <w:rFonts w:cs="Times New Roman"/>
          <w:sz w:val="24"/>
          <w:szCs w:val="24"/>
        </w:rPr>
        <w:t xml:space="preserve"> </w:t>
      </w:r>
      <w:r w:rsidRPr="00A472E9">
        <w:rPr>
          <w:rFonts w:cs="Times New Roman"/>
          <w:sz w:val="24"/>
          <w:szCs w:val="24"/>
          <w:u w:val="single"/>
        </w:rPr>
        <w:t xml:space="preserve"> (37,40 TL.)</w:t>
      </w:r>
      <w:r w:rsidR="00A472E9" w:rsidRPr="00A472E9">
        <w:rPr>
          <w:rFonts w:cs="Times New Roman"/>
          <w:sz w:val="24"/>
          <w:szCs w:val="24"/>
          <w:u w:val="single"/>
        </w:rPr>
        <w:t>”</w:t>
      </w:r>
      <w:r w:rsidR="00A472E9" w:rsidRPr="00187DA6">
        <w:rPr>
          <w:rFonts w:cs="Times New Roman"/>
          <w:sz w:val="24"/>
          <w:szCs w:val="24"/>
        </w:rPr>
        <w:t xml:space="preserve"> yazmaktaydı.</w:t>
      </w:r>
    </w:p>
    <w:p w:rsidR="00A472E9" w:rsidRDefault="00594882" w:rsidP="00A472E9">
      <w:pPr>
        <w:tabs>
          <w:tab w:val="left" w:pos="6775"/>
        </w:tabs>
        <w:ind w:left="567" w:hanging="567"/>
        <w:jc w:val="both"/>
        <w:rPr>
          <w:rFonts w:cs="Times New Roman"/>
          <w:sz w:val="24"/>
          <w:szCs w:val="24"/>
        </w:rPr>
      </w:pPr>
      <w:r>
        <w:rPr>
          <w:rFonts w:cs="Times New Roman"/>
          <w:b/>
          <w:sz w:val="24"/>
          <w:szCs w:val="24"/>
        </w:rPr>
        <w:lastRenderedPageBreak/>
        <w:t>7)</w:t>
      </w:r>
      <w:r w:rsidR="00A472E9">
        <w:rPr>
          <w:rFonts w:cs="Times New Roman"/>
          <w:sz w:val="24"/>
          <w:szCs w:val="24"/>
        </w:rPr>
        <w:tab/>
      </w:r>
      <w:r w:rsidR="00A472E9" w:rsidRPr="00B16F05">
        <w:rPr>
          <w:rFonts w:cs="Times New Roman"/>
          <w:sz w:val="24"/>
          <w:szCs w:val="24"/>
        </w:rPr>
        <w:t>488 sayılı Kanuna ekli (</w:t>
      </w:r>
      <w:r w:rsidR="00A472E9">
        <w:rPr>
          <w:rFonts w:cs="Times New Roman"/>
          <w:sz w:val="24"/>
          <w:szCs w:val="24"/>
        </w:rPr>
        <w:t>2</w:t>
      </w:r>
      <w:r w:rsidR="00A472E9" w:rsidRPr="00B16F05">
        <w:rPr>
          <w:rFonts w:cs="Times New Roman"/>
          <w:sz w:val="24"/>
          <w:szCs w:val="24"/>
        </w:rPr>
        <w:t>) Sayılı Tablonun</w:t>
      </w:r>
      <w:r w:rsidR="00A472E9">
        <w:rPr>
          <w:rFonts w:cs="Times New Roman"/>
          <w:sz w:val="24"/>
          <w:szCs w:val="24"/>
        </w:rPr>
        <w:t>;</w:t>
      </w:r>
    </w:p>
    <w:p w:rsidR="00425962" w:rsidRDefault="00A472E9" w:rsidP="00187DA6">
      <w:pPr>
        <w:tabs>
          <w:tab w:val="left" w:pos="426"/>
          <w:tab w:val="left" w:pos="6775"/>
        </w:tabs>
        <w:ind w:left="426" w:hanging="426"/>
        <w:jc w:val="both"/>
        <w:rPr>
          <w:rFonts w:cs="Times New Roman"/>
          <w:sz w:val="24"/>
          <w:szCs w:val="24"/>
        </w:rPr>
      </w:pPr>
      <w:r>
        <w:rPr>
          <w:rFonts w:cs="Times New Roman"/>
          <w:b/>
          <w:sz w:val="24"/>
          <w:szCs w:val="24"/>
        </w:rPr>
        <w:t>-</w:t>
      </w:r>
      <w:r>
        <w:rPr>
          <w:rFonts w:cs="Times New Roman"/>
          <w:sz w:val="24"/>
          <w:szCs w:val="24"/>
        </w:rPr>
        <w:tab/>
        <w:t>“</w:t>
      </w:r>
      <w:r w:rsidRPr="00A472E9">
        <w:rPr>
          <w:rFonts w:cs="Times New Roman"/>
          <w:b/>
          <w:sz w:val="24"/>
          <w:szCs w:val="24"/>
        </w:rPr>
        <w:t xml:space="preserve">II - Öğrenciler ve askerlerle ilgili </w:t>
      </w:r>
      <w:r w:rsidR="00425962" w:rsidRPr="00A472E9">
        <w:rPr>
          <w:rFonts w:cs="Times New Roman"/>
          <w:b/>
          <w:sz w:val="24"/>
          <w:szCs w:val="24"/>
        </w:rPr>
        <w:t>kâğıtlar</w:t>
      </w:r>
      <w:r>
        <w:rPr>
          <w:rFonts w:cs="Times New Roman"/>
          <w:b/>
          <w:sz w:val="24"/>
          <w:szCs w:val="24"/>
        </w:rPr>
        <w:t xml:space="preserve">” </w:t>
      </w:r>
      <w:r>
        <w:rPr>
          <w:rFonts w:cs="Times New Roman"/>
          <w:sz w:val="24"/>
          <w:szCs w:val="24"/>
        </w:rPr>
        <w:t>başlıklı bölümün 2 numaralı fıkrasına ‘</w:t>
      </w:r>
      <w:r w:rsidRPr="00A472E9">
        <w:rPr>
          <w:rFonts w:cs="Times New Roman"/>
          <w:sz w:val="24"/>
          <w:szCs w:val="24"/>
        </w:rPr>
        <w:t>Öğrenciler ve velileri tarafından okul idarelerine verilen beyannameler</w:t>
      </w:r>
      <w:r>
        <w:rPr>
          <w:rFonts w:cs="Times New Roman"/>
          <w:sz w:val="24"/>
          <w:szCs w:val="24"/>
        </w:rPr>
        <w:t>’ ibaresinden sonra gelmek üzere</w:t>
      </w:r>
      <w:r w:rsidRPr="00A472E9">
        <w:rPr>
          <w:rFonts w:cs="Times New Roman"/>
          <w:sz w:val="24"/>
          <w:szCs w:val="24"/>
        </w:rPr>
        <w:t xml:space="preserve"> </w:t>
      </w:r>
      <w:r>
        <w:rPr>
          <w:rFonts w:cs="Times New Roman"/>
          <w:sz w:val="24"/>
          <w:szCs w:val="24"/>
        </w:rPr>
        <w:t>‘</w:t>
      </w:r>
      <w:r w:rsidRPr="00A472E9">
        <w:rPr>
          <w:rFonts w:cs="Times New Roman"/>
          <w:sz w:val="24"/>
          <w:szCs w:val="24"/>
          <w:u w:val="single"/>
        </w:rPr>
        <w:t>ile okul idareleriyle öğrenciler veya veliler</w:t>
      </w:r>
      <w:r>
        <w:rPr>
          <w:rFonts w:cs="Times New Roman"/>
          <w:sz w:val="24"/>
          <w:szCs w:val="24"/>
          <w:u w:val="single"/>
        </w:rPr>
        <w:t>i arasında düzenlenen kâğıtlar’</w:t>
      </w:r>
      <w:r>
        <w:rPr>
          <w:rFonts w:cs="Times New Roman"/>
          <w:sz w:val="24"/>
          <w:szCs w:val="24"/>
        </w:rPr>
        <w:t xml:space="preserve"> ibaresi eklenmiştir.</w:t>
      </w:r>
      <w:r w:rsidR="00425962">
        <w:rPr>
          <w:rFonts w:cs="Times New Roman"/>
          <w:sz w:val="24"/>
          <w:szCs w:val="24"/>
        </w:rPr>
        <w:t xml:space="preserve"> Bu bağlamda bu kâğıtlar da istisna kapsamına girmiştir.</w:t>
      </w:r>
    </w:p>
    <w:p w:rsidR="00425962" w:rsidRDefault="00425962" w:rsidP="00187DA6">
      <w:pPr>
        <w:tabs>
          <w:tab w:val="left" w:pos="426"/>
          <w:tab w:val="left" w:pos="6775"/>
        </w:tabs>
        <w:ind w:left="426" w:hanging="426"/>
        <w:jc w:val="both"/>
        <w:rPr>
          <w:rFonts w:cs="Times New Roman"/>
          <w:sz w:val="24"/>
          <w:szCs w:val="24"/>
        </w:rPr>
      </w:pPr>
      <w:r>
        <w:rPr>
          <w:rFonts w:cs="Times New Roman"/>
          <w:sz w:val="24"/>
          <w:szCs w:val="24"/>
        </w:rPr>
        <w:t>-</w:t>
      </w:r>
      <w:r>
        <w:rPr>
          <w:rFonts w:cs="Times New Roman"/>
          <w:sz w:val="24"/>
          <w:szCs w:val="24"/>
        </w:rPr>
        <w:tab/>
        <w:t xml:space="preserve"> “</w:t>
      </w:r>
      <w:r w:rsidRPr="00A472E9">
        <w:rPr>
          <w:rFonts w:cs="Times New Roman"/>
          <w:b/>
          <w:sz w:val="24"/>
          <w:szCs w:val="24"/>
        </w:rPr>
        <w:t>II - Öğrenciler ve askerlerle ilgili kâğıtlar</w:t>
      </w:r>
      <w:r>
        <w:rPr>
          <w:rFonts w:cs="Times New Roman"/>
          <w:b/>
          <w:sz w:val="24"/>
          <w:szCs w:val="24"/>
        </w:rPr>
        <w:t>”</w:t>
      </w:r>
      <w:r>
        <w:rPr>
          <w:rFonts w:cs="Times New Roman"/>
          <w:sz w:val="24"/>
          <w:szCs w:val="24"/>
        </w:rPr>
        <w:t xml:space="preserve"> başlıklı bölüme ayrıca 6 numaralı fıkra eklenmiştir. Bu da “</w:t>
      </w:r>
      <w:r w:rsidRPr="00425962">
        <w:rPr>
          <w:rFonts w:cs="Times New Roman"/>
          <w:sz w:val="24"/>
          <w:szCs w:val="24"/>
          <w:u w:val="single"/>
        </w:rPr>
        <w:t>Resmî dairelerce yurt dışına gönderilen kişiler adına yurt dışında bulunan eğitim-öğretim ve sağlık kurumlarına yapılan ödemelere ilişkin düzenlenen kâğıtlar</w:t>
      </w:r>
      <w:r>
        <w:rPr>
          <w:rFonts w:cs="Times New Roman"/>
          <w:sz w:val="24"/>
          <w:szCs w:val="24"/>
          <w:u w:val="single"/>
        </w:rPr>
        <w:t>”</w:t>
      </w:r>
      <w:r w:rsidRPr="00425962">
        <w:rPr>
          <w:rFonts w:cs="Times New Roman"/>
          <w:sz w:val="24"/>
          <w:szCs w:val="24"/>
        </w:rPr>
        <w:t xml:space="preserve"> ı damga vergisinden istisna tutmaktadır.</w:t>
      </w:r>
    </w:p>
    <w:p w:rsidR="00425962" w:rsidRDefault="00425962" w:rsidP="00187DA6">
      <w:pPr>
        <w:tabs>
          <w:tab w:val="left" w:pos="426"/>
          <w:tab w:val="left" w:pos="6775"/>
        </w:tabs>
        <w:ind w:left="426" w:hanging="426"/>
        <w:jc w:val="both"/>
        <w:rPr>
          <w:rFonts w:cs="Times New Roman"/>
          <w:sz w:val="24"/>
          <w:szCs w:val="24"/>
        </w:rPr>
      </w:pPr>
      <w:r>
        <w:rPr>
          <w:rFonts w:cs="Times New Roman"/>
          <w:sz w:val="24"/>
          <w:szCs w:val="24"/>
        </w:rPr>
        <w:t>-</w:t>
      </w:r>
      <w:r>
        <w:rPr>
          <w:rFonts w:cs="Times New Roman"/>
          <w:sz w:val="24"/>
          <w:szCs w:val="24"/>
        </w:rPr>
        <w:tab/>
        <w:t>“</w:t>
      </w:r>
      <w:r w:rsidRPr="00425962">
        <w:rPr>
          <w:rFonts w:cs="Times New Roman"/>
          <w:b/>
          <w:sz w:val="24"/>
          <w:szCs w:val="24"/>
        </w:rPr>
        <w:t xml:space="preserve">IV - Ticari ve medeni işlerle ilgili </w:t>
      </w:r>
      <w:r w:rsidR="00055E3C" w:rsidRPr="00425962">
        <w:rPr>
          <w:rFonts w:cs="Times New Roman"/>
          <w:b/>
          <w:sz w:val="24"/>
          <w:szCs w:val="24"/>
        </w:rPr>
        <w:t>kâğıtlar</w:t>
      </w:r>
      <w:r>
        <w:rPr>
          <w:rFonts w:cs="Times New Roman"/>
          <w:b/>
          <w:sz w:val="24"/>
          <w:szCs w:val="24"/>
        </w:rPr>
        <w:t>”</w:t>
      </w:r>
      <w:r>
        <w:rPr>
          <w:rFonts w:cs="Times New Roman"/>
          <w:sz w:val="24"/>
          <w:szCs w:val="24"/>
        </w:rPr>
        <w:t xml:space="preserve"> </w:t>
      </w:r>
      <w:r w:rsidR="00055E3C">
        <w:rPr>
          <w:rFonts w:cs="Times New Roman"/>
          <w:sz w:val="24"/>
          <w:szCs w:val="24"/>
        </w:rPr>
        <w:t xml:space="preserve"> başlıklı bölümün 5, 19, 21, 23, 30, 31, 32, 41 numaralı fıkralarında değişiklik yapılmış, 16 numaralı fıkrasına “pay devirleri” ibaresi eklenmiş, 42 numaralı fıkrasından sonra gelmek üzere 10 fıkra daha eklenerek, ‘Damga Vergisinden İstisna Edilen Kâğıtları’ içeren (2) Sayılı Tablonun kapsamı genişletilmiştir.</w:t>
      </w:r>
    </w:p>
    <w:p w:rsidR="00B26B38" w:rsidRDefault="00B26B38" w:rsidP="00063719">
      <w:pPr>
        <w:tabs>
          <w:tab w:val="left" w:pos="851"/>
        </w:tabs>
        <w:ind w:left="426" w:hanging="426"/>
        <w:jc w:val="both"/>
        <w:rPr>
          <w:rFonts w:cs="Times New Roman"/>
          <w:sz w:val="24"/>
          <w:szCs w:val="24"/>
        </w:rPr>
      </w:pPr>
      <w:r>
        <w:rPr>
          <w:rFonts w:cs="Times New Roman"/>
          <w:sz w:val="24"/>
          <w:szCs w:val="24"/>
        </w:rPr>
        <w:tab/>
      </w:r>
      <w:r w:rsidR="00063719">
        <w:rPr>
          <w:rFonts w:cs="Times New Roman"/>
          <w:sz w:val="24"/>
          <w:szCs w:val="24"/>
        </w:rPr>
        <w:tab/>
      </w:r>
      <w:r>
        <w:rPr>
          <w:rFonts w:cs="Times New Roman"/>
          <w:sz w:val="24"/>
          <w:szCs w:val="24"/>
        </w:rPr>
        <w:t xml:space="preserve">Bu eklemeler </w:t>
      </w:r>
      <w:r w:rsidRPr="00063719">
        <w:rPr>
          <w:rFonts w:cs="Times New Roman"/>
          <w:b/>
          <w:sz w:val="24"/>
          <w:szCs w:val="24"/>
          <w:u w:val="single"/>
        </w:rPr>
        <w:t xml:space="preserve">Yatırım Teşvik Belgesi kapsamında yer alan yatırım mallarına ilişkin olarak </w:t>
      </w:r>
      <w:r w:rsidR="00063719" w:rsidRPr="00063719">
        <w:rPr>
          <w:rFonts w:cs="Times New Roman"/>
          <w:b/>
          <w:sz w:val="24"/>
          <w:szCs w:val="24"/>
          <w:u w:val="single"/>
        </w:rPr>
        <w:t>düzenlenen kağıtlar</w:t>
      </w:r>
      <w:r w:rsidR="00063719">
        <w:rPr>
          <w:rFonts w:cs="Times New Roman"/>
          <w:sz w:val="24"/>
          <w:szCs w:val="24"/>
        </w:rPr>
        <w:t xml:space="preserve">, Özel Tüketim Vergisi Kanunu ve aynı Kanunun ilgili mevzuatı uyarınca düzenlenen taahhütnameler, </w:t>
      </w:r>
      <w:r w:rsidR="00063719" w:rsidRPr="00063719">
        <w:rPr>
          <w:rFonts w:cs="Times New Roman"/>
          <w:b/>
          <w:sz w:val="24"/>
          <w:szCs w:val="24"/>
          <w:u w:val="single"/>
        </w:rPr>
        <w:t>binalarda ısı yalıtımı ve enerji tasarrufu sağlamaya yönelik olarak düzenlenen kağıtlar</w:t>
      </w:r>
      <w:r w:rsidR="00063719">
        <w:rPr>
          <w:rFonts w:cs="Times New Roman"/>
          <w:sz w:val="24"/>
          <w:szCs w:val="24"/>
        </w:rPr>
        <w:t xml:space="preserve">, Sanayi Sicil Kanununa göre sanayi sicil belgesini haiz sanayi işletmecilerince </w:t>
      </w:r>
      <w:r w:rsidR="00063719" w:rsidRPr="00063719">
        <w:rPr>
          <w:rFonts w:cs="Times New Roman"/>
          <w:b/>
          <w:sz w:val="24"/>
          <w:szCs w:val="24"/>
          <w:u w:val="single"/>
        </w:rPr>
        <w:t>yani makine ve teçhizat alımına yönelik düzenlenen kağıtlar, her türlü gemi, yat ve diğer su araçlarının inşası, yenileme ve dönüşümü ile bakım ve onarımına</w:t>
      </w:r>
      <w:r w:rsidR="00063719">
        <w:rPr>
          <w:rFonts w:cs="Times New Roman"/>
          <w:sz w:val="24"/>
          <w:szCs w:val="24"/>
        </w:rPr>
        <w:t xml:space="preserve"> ilişkin düzenlenen kağıtlar ile ilgilidir.</w:t>
      </w:r>
    </w:p>
    <w:p w:rsidR="00187DA6" w:rsidRDefault="00187DA6" w:rsidP="00187DA6">
      <w:pPr>
        <w:tabs>
          <w:tab w:val="left" w:pos="426"/>
          <w:tab w:val="left" w:pos="6775"/>
        </w:tabs>
        <w:ind w:left="426" w:hanging="426"/>
        <w:jc w:val="both"/>
        <w:rPr>
          <w:rFonts w:cs="Times New Roman"/>
          <w:sz w:val="24"/>
          <w:szCs w:val="24"/>
        </w:rPr>
      </w:pPr>
    </w:p>
    <w:p w:rsidR="00187DA6" w:rsidRDefault="00187DA6" w:rsidP="00187DA6">
      <w:pPr>
        <w:tabs>
          <w:tab w:val="left" w:pos="426"/>
          <w:tab w:val="left" w:pos="6775"/>
        </w:tabs>
        <w:ind w:left="426" w:hanging="426"/>
        <w:jc w:val="both"/>
        <w:rPr>
          <w:rFonts w:cs="Times New Roman"/>
          <w:sz w:val="24"/>
          <w:szCs w:val="24"/>
        </w:rPr>
      </w:pPr>
    </w:p>
    <w:p w:rsidR="00187DA6" w:rsidRDefault="00187DA6" w:rsidP="00187DA6">
      <w:pPr>
        <w:tabs>
          <w:tab w:val="left" w:pos="426"/>
          <w:tab w:val="left" w:pos="6775"/>
        </w:tabs>
        <w:ind w:left="426" w:hanging="426"/>
        <w:jc w:val="both"/>
        <w:rPr>
          <w:rFonts w:cs="Times New Roman"/>
          <w:sz w:val="24"/>
          <w:szCs w:val="24"/>
        </w:rPr>
      </w:pPr>
    </w:p>
    <w:p w:rsidR="00187DA6" w:rsidRDefault="00187DA6" w:rsidP="00187DA6">
      <w:pPr>
        <w:tabs>
          <w:tab w:val="left" w:pos="426"/>
          <w:tab w:val="left" w:pos="6775"/>
        </w:tabs>
        <w:ind w:left="426" w:hanging="426"/>
        <w:jc w:val="both"/>
        <w:rPr>
          <w:rFonts w:cs="Times New Roman"/>
          <w:sz w:val="24"/>
          <w:szCs w:val="24"/>
        </w:rPr>
      </w:pPr>
    </w:p>
    <w:p w:rsidR="00187DA6" w:rsidRDefault="00187DA6" w:rsidP="00187DA6">
      <w:pPr>
        <w:tabs>
          <w:tab w:val="left" w:pos="426"/>
          <w:tab w:val="left" w:pos="6775"/>
        </w:tabs>
        <w:ind w:left="426" w:hanging="426"/>
        <w:jc w:val="both"/>
        <w:rPr>
          <w:rFonts w:cs="Times New Roman"/>
          <w:sz w:val="24"/>
          <w:szCs w:val="24"/>
        </w:rPr>
      </w:pPr>
    </w:p>
    <w:p w:rsidR="00187DA6" w:rsidRPr="00187DA6" w:rsidRDefault="00187DA6" w:rsidP="00187DA6">
      <w:pPr>
        <w:tabs>
          <w:tab w:val="left" w:pos="426"/>
          <w:tab w:val="left" w:pos="6775"/>
        </w:tabs>
        <w:ind w:left="426" w:hanging="426"/>
        <w:jc w:val="center"/>
        <w:rPr>
          <w:rFonts w:cs="Times New Roman"/>
          <w:b/>
          <w:sz w:val="24"/>
          <w:szCs w:val="24"/>
        </w:rPr>
      </w:pPr>
      <w:r>
        <w:rPr>
          <w:rFonts w:cs="Times New Roman"/>
          <w:sz w:val="24"/>
          <w:szCs w:val="24"/>
        </w:rPr>
        <w:tab/>
      </w:r>
      <w:r>
        <w:rPr>
          <w:rFonts w:cs="Times New Roman"/>
          <w:sz w:val="24"/>
          <w:szCs w:val="24"/>
        </w:rPr>
        <w:tab/>
        <w:t xml:space="preserve">  </w:t>
      </w:r>
      <w:r w:rsidRPr="00187DA6">
        <w:rPr>
          <w:rFonts w:cs="Times New Roman"/>
          <w:b/>
          <w:sz w:val="24"/>
          <w:szCs w:val="24"/>
        </w:rPr>
        <w:t>Enver ÇAKAN</w:t>
      </w:r>
    </w:p>
    <w:p w:rsidR="00187DA6" w:rsidRPr="00187DA6" w:rsidRDefault="00187DA6" w:rsidP="00187DA6">
      <w:pPr>
        <w:tabs>
          <w:tab w:val="left" w:pos="426"/>
          <w:tab w:val="left" w:pos="6775"/>
        </w:tabs>
        <w:ind w:left="426" w:hanging="426"/>
        <w:jc w:val="right"/>
        <w:rPr>
          <w:rFonts w:cs="Times New Roman"/>
          <w:b/>
          <w:sz w:val="24"/>
          <w:szCs w:val="24"/>
        </w:rPr>
      </w:pPr>
      <w:r w:rsidRPr="00187DA6">
        <w:rPr>
          <w:rFonts w:cs="Times New Roman"/>
          <w:b/>
          <w:sz w:val="24"/>
          <w:szCs w:val="24"/>
        </w:rPr>
        <w:t>Yeminli Mali Müşavir</w:t>
      </w:r>
    </w:p>
    <w:sectPr w:rsidR="00187DA6" w:rsidRPr="00187DA6" w:rsidSect="0054037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B5285"/>
    <w:multiLevelType w:val="hybridMultilevel"/>
    <w:tmpl w:val="FE6C3AF4"/>
    <w:lvl w:ilvl="0" w:tplc="8F5C2404">
      <w:start w:val="1"/>
      <w:numFmt w:val="upperLetter"/>
      <w:lvlText w:val="%1)"/>
      <w:lvlJc w:val="left"/>
      <w:pPr>
        <w:ind w:left="720" w:hanging="360"/>
      </w:pPr>
      <w:rPr>
        <w:rFonts w:asciiTheme="minorHAnsi" w:eastAsiaTheme="minorHAnsi" w:hAnsiTheme="minorHAnsi" w:cs="Times New Roman"/>
      </w:rPr>
    </w:lvl>
    <w:lvl w:ilvl="1" w:tplc="041F0011">
      <w:start w:val="1"/>
      <w:numFmt w:val="decimal"/>
      <w:lvlText w:val="%2)"/>
      <w:lvlJc w:val="left"/>
      <w:pPr>
        <w:ind w:left="786" w:hanging="360"/>
      </w:pPr>
      <w:rPr>
        <w:b/>
      </w:rPr>
    </w:lvl>
    <w:lvl w:ilvl="2" w:tplc="11F07076">
      <w:start w:val="5"/>
      <w:numFmt w:val="bullet"/>
      <w:lvlText w:val="-"/>
      <w:lvlJc w:val="left"/>
      <w:pPr>
        <w:ind w:left="786" w:hanging="360"/>
      </w:pPr>
      <w:rPr>
        <w:rFonts w:ascii="Calibri" w:eastAsiaTheme="minorHAnsi" w:hAnsi="Calibri"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76"/>
    <w:rsid w:val="00021D88"/>
    <w:rsid w:val="00035E42"/>
    <w:rsid w:val="00055E3C"/>
    <w:rsid w:val="00063719"/>
    <w:rsid w:val="000F25ED"/>
    <w:rsid w:val="00180D03"/>
    <w:rsid w:val="00187DA6"/>
    <w:rsid w:val="00425962"/>
    <w:rsid w:val="00540376"/>
    <w:rsid w:val="00594882"/>
    <w:rsid w:val="006F0AB1"/>
    <w:rsid w:val="007E1A70"/>
    <w:rsid w:val="00827AD6"/>
    <w:rsid w:val="008A0D30"/>
    <w:rsid w:val="009403B8"/>
    <w:rsid w:val="00A234F9"/>
    <w:rsid w:val="00A439F1"/>
    <w:rsid w:val="00A472E9"/>
    <w:rsid w:val="00A670FD"/>
    <w:rsid w:val="00A973B4"/>
    <w:rsid w:val="00B16F05"/>
    <w:rsid w:val="00B26B38"/>
    <w:rsid w:val="00BC3E40"/>
    <w:rsid w:val="00BD64FD"/>
    <w:rsid w:val="00C15BB9"/>
    <w:rsid w:val="00ED58C9"/>
    <w:rsid w:val="00EE25F5"/>
    <w:rsid w:val="00FC01BF"/>
    <w:rsid w:val="00FF24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7137E-98C8-49B8-BF00-F5F9E168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540376"/>
    <w:rPr>
      <w:i/>
      <w:iCs/>
    </w:rPr>
  </w:style>
  <w:style w:type="paragraph" w:styleId="ListeParagraf">
    <w:name w:val="List Paragraph"/>
    <w:basedOn w:val="Normal"/>
    <w:uiPriority w:val="34"/>
    <w:qFormat/>
    <w:rsid w:val="00A67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32087">
      <w:bodyDiv w:val="1"/>
      <w:marLeft w:val="0"/>
      <w:marRight w:val="0"/>
      <w:marTop w:val="0"/>
      <w:marBottom w:val="0"/>
      <w:divBdr>
        <w:top w:val="none" w:sz="0" w:space="0" w:color="auto"/>
        <w:left w:val="none" w:sz="0" w:space="0" w:color="auto"/>
        <w:bottom w:val="none" w:sz="0" w:space="0" w:color="auto"/>
        <w:right w:val="none" w:sz="0" w:space="0" w:color="auto"/>
      </w:divBdr>
    </w:div>
    <w:div w:id="19905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1380</TotalTime>
  <Pages>3</Pages>
  <Words>1125</Words>
  <Characters>6419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Hicran ASLAN</dc:creator>
  <cp:keywords/>
  <dc:description/>
  <cp:lastModifiedBy>Elif Hicran ASLAN</cp:lastModifiedBy>
  <cp:revision>8</cp:revision>
  <dcterms:created xsi:type="dcterms:W3CDTF">2016-08-15T10:27:00Z</dcterms:created>
  <dcterms:modified xsi:type="dcterms:W3CDTF">2016-08-18T12:26:00Z</dcterms:modified>
</cp:coreProperties>
</file>